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BC7F5A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BC7F5A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эмитентом: ежеквартальный отчет эмитента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BC7F5A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FF4FF6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BC7F5A">
                    <w:rPr>
                      <w:sz w:val="24"/>
                      <w:szCs w:val="24"/>
                    </w:rPr>
                    <w:t>3.02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C7F5A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BC7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BC7F5A">
              <w:rPr>
                <w:sz w:val="24"/>
                <w:szCs w:val="24"/>
              </w:rPr>
              <w:t>3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BC7F5A">
              <w:rPr>
                <w:sz w:val="24"/>
                <w:szCs w:val="24"/>
              </w:rPr>
              <w:t>февраля 2015</w:t>
            </w:r>
            <w:bookmarkStart w:id="0" w:name="_GoBack"/>
            <w:bookmarkEnd w:id="0"/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031F4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cp:lastPrinted>2012-02-16T09:03:00Z</cp:lastPrinted>
  <dcterms:created xsi:type="dcterms:W3CDTF">2015-02-17T09:30:00Z</dcterms:created>
  <dcterms:modified xsi:type="dcterms:W3CDTF">2015-02-17T09:30:00Z</dcterms:modified>
</cp:coreProperties>
</file>